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105698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10-Sep-2024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Durid Mahrous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581089419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dmahrous@cpvarabia.com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ﺍﻟﻌﺎﺭﺽ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ﻣﺆﺳﺴﺔ ﻣﻬﺎﺭﺗﻲ ﻟﻠﺘﻄﻮﻳﺮ ﺍﻟﻌﻘﺎﺭﻱ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02-09-2024-RD0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02-09-2024-RD0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gfgf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aaaaa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The length of the building is greater than 45 m.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aaaaaaaaaa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1.187335092348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105698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10-Sep-2024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Durid Mahrous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581089419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dmahrous@cpvarabia.com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ﺍﻟﻌﺎﺭﺽ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ﻣﺆﺳﺴﺔ ﻣﻬﺎﺭﺗﻲ ﻟﻠﺘﻄﻮﻳﺮ ﺍﻟﻌﻘﺎﺭﻱ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02-09-2024-RD0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02-09-2024-RD0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gfgf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aaaaa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/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The length of the building is greater than 45 m.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aaaaaaaaaa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1.187335092348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