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Override PartName="/word/media/image_rId19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294380</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Mai Magdy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0</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04-Aug-2024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ﺍﺣﻤﺪ ﺑﻦ ﺳﻌﺪ ﺑﻦ ﻋﺒﺪﺍﻟﻠﻪ ﺍﻟﻤﻐﺮﺑﻲ</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ﺗﻌﻤﻴﺮ ﻫﺠﺮ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ﻣﺒﻨﻰ ﺳﻜﻨﻰ</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ﺍﻟﺤﺰﺍﻡ ﺍﻻﺧﻀﺮ_ﺍﻟﻬﻔﻮﻑ_ﺍﻻﺣﺴﺎﺀ</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c10e0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a2980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04-Aug-2024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cb50b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074cf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92dee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33c8c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ﺷﺮﻛﺔ ﺍﻻﺑﺪﺍﻉ ﺍﻟﻤﻌﻤﺎﺭﻱ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ﺷﺮﻛﺔ ﺍﻻﺑﺪﺍﻉ ﺍﻟﻤﻌﻤﺎﺭﻱ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مكتب الأحساء لفحص الخرسانة والتربة والأساسات</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ﺗﻌﻤﻴﺮ ﻫﺠﺮ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ﺷﺮﻛﺔ ﺍﻻﺑﺪﺍﻉ ﺍﻟﻤﻌﻤﺎﺭﻱ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28027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989ae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Façade details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NA</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N</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  0</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NA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0</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NA</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Non-aggressive due to water or soil ( Chloride in Soil=  % , Sulfate in Soil=  %  )</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and the settlement value: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NA</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 m and the maximum headroom (Hp):m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No Cantilevers have been founded in the floor slabs</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NA, Total Building height =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753,250.00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450,000.00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50,000.00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70,000.00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20,000.00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50,000.00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98,250.00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12months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31-Jul-2024</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15-Aug-2024</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30-Jul-2025</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0bdb64"/>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53e484"/>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NA</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28b63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2</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88f58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152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f09431"/>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2e9ba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
            </w:r>
          </w:p>
          <w:p w14:paraId="54FD6D8C" w14:textId="5C0A0013" w:rsidR="00323DE7" w:rsidRPr="00CF1E39" w:rsidRDefault="00323DE7" w:rsidP="009D3EDD">
            <w:pPr>
              <w:spacing w:after="120" w:line="360" w:lineRule="auto"/>
              <w:rPr>
                <w:sz w:val="16"/>
                <w:szCs w:val="16"/>
              </w:rPr>
            </w:pPr>
            <w:r w:rsidRPr="00CF1E39">
              <w:rPr>
                <w:sz w:val="16"/>
                <w:szCs w:val="16"/>
              </w:rPr>
              <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
            </w:r>
          </w:p>
          <w:p w14:paraId="09D628C4" w14:textId="4D6EB0D6" w:rsidR="00323DE7" w:rsidRPr="00CF1E39" w:rsidRDefault="00323DE7" w:rsidP="009D3EDD">
            <w:pPr>
              <w:spacing w:after="120" w:line="360" w:lineRule="auto"/>
              <w:rPr>
                <w:sz w:val="16"/>
                <w:szCs w:val="16"/>
              </w:rPr>
            </w:pPr>
            <w:r w:rsidRPr="00CF1E39">
              <w:rPr>
                <w:sz w:val="16"/>
                <w:szCs w:val="16"/>
              </w:rPr>
              <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8bdb2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72679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b2c80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4d482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9124f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6d62d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8b855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d60c9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According to 303 Structural - Soil and Foundations Standard, in table 2.1, the minimum depth of one third of the boreholes for this case is 6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depth of two thirds of the boreholes for this case is 4 m (measured from level of foundation bottom). This does not comply. </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c5db2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b360c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e11c4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NA</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35195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3baf0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be89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6b940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58d3b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709f0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0.1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Please Conduct a new soil investigation in accordance with SBC 303-2018 and SBC 1101 requirements, update the project design based on the new findings,  Please send us the updates once completed.</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testttttttt</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Review the settlement mentioned in the geotechnical report to ensure compliance with SBC 1101, Section 706, and SBC 303, Section 8.5, and update the report accordingly.</w:t>
            </w:r>
            <w:b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Review the structural model to ensure compliance with design requirements for bending moment, shear, immediate deflection, and long-term deflection as stated in SBC 1101, Sections 4B5, 4B11, 4C3.1 to 4C3.4.1.3, and Tables 4C-1 and 4C-2, and make necessary adjustments.</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Review and modify the design of openings and embedded conduits and pipes in structural members to ensure compliance with SBC 1101, Section 7A8, and implement necessary changes.</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r>
              <w:rPr>
                <w:rFonts w:ascii="Verdana" w:hAnsi="Verdana" w:eastAsia="Verdana" w:cs="Verdana"/>
                <w:sz w:val="18"/>
                <w:szCs w:val="18"/>
                <w:b w:val="0"/>
                <w:bCs w:val="0"/>
              </w:rPr>
              <w:t xml:space="preserve">- The soil contains some aggressive items ( Chloride in Soil= 0.171 % Sulfate in Soil= 0.119 %  )  and the design concrete compressive strength is22 MPa. which isn`t enough to resist this soil aggressiveness, and it should be at least 31 MPa. (The inspection team will check at the site)</w:t>
            </w:r>
            <w:br/>
            <w:r>
              <w:rPr>
                <w:rFonts w:ascii="Verdana" w:hAnsi="Verdana" w:eastAsia="Verdana" w:cs="Verdana"/>
                <w:sz w:val="18"/>
                <w:szCs w:val="18"/>
                <w:b w:val="0"/>
                <w:bCs w:val="0"/>
              </w:rPr>
              <w:t xml:space="preserve">- The location of the (water tank/ Septic tank) was not specified on the plans. It must be considered that the location of the tank near the building affects the stability of the building’s foundations and exposes the structure to risk.</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The walls or partitions constructed from adobe units do not comply with the requirements of SBC 201, Section 2109.3.4.5.1.</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r>
              <w:rPr>
                <w:rFonts w:ascii="Verdana" w:hAnsi="Verdana" w:eastAsia="Verdana" w:cs="Verdana"/>
                <w:sz w:val="18"/>
                <w:szCs w:val="18"/>
                <w:b w:val="0"/>
                <w:bCs w:val="0"/>
              </w:rPr>
              <w:t xml:space="preserve">- Technical reservation: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Ensure footing depth and concrete cover comply with SBC 303, Section 5.2 and Section 5.4.2.6, and update the design accordingly.</w:t>
            </w:r>
            <w:br/>
            <w:r>
              <w:rPr>
                <w:rFonts w:ascii="Verdana" w:hAnsi="Verdana" w:eastAsia="Verdana" w:cs="Verdana"/>
                <w:sz w:val="18"/>
                <w:szCs w:val="18"/>
                <w:b w:val="0"/>
                <w:bCs w:val="0"/>
              </w:rPr>
              <w:t xml:space="preserve">- Technical reservation: The concrete cover for the steel reinforcement has not been verified according to SBC 1101, Section 4A7.1.</w:t>
            </w:r>
            <w:br/>
            <w:r>
              <w:rPr>
                <w:rFonts w:ascii="Verdana" w:hAnsi="Verdana" w:eastAsia="Verdana" w:cs="Verdana"/>
                <w:sz w:val="18"/>
                <w:szCs w:val="18"/>
                <w:b w:val="0"/>
                <w:bCs w:val="0"/>
              </w:rPr>
              <w:t xml:space="preserve">  Verify that the concrete cover for steel reinforcement complies with SBC 1101, Section 4A7.1 requirements, and adjust any non-compliant designs.</w:t>
            </w:r>
            <w:br/>
            <w:r>
              <w:rPr>
                <w:rFonts w:ascii="Verdana" w:hAnsi="Verdana" w:eastAsia="Verdana" w:cs="Verdana"/>
                <w:sz w:val="18"/>
                <w:szCs w:val="18"/>
                <w:b w:val="0"/>
                <w:bCs w:val="0"/>
              </w:rPr>
              <w:t xml:space="preserve">- Technical reservation: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Ensure that the damp-proofing and waterproofing comply with SBC 303, Sections 13.1-13.5, SBC 1101, Sections 711.1 to 711.2.3, Figure 7.21, and SBC 303, Chapter 13, by utilizing approved materials and specifications.</w:t>
            </w:r>
            <w:br/>
            <w:r>
              <w:rPr>
                <w:rFonts w:ascii="Verdana" w:hAnsi="Verdana" w:eastAsia="Verdana" w:cs="Verdana"/>
                <w:sz w:val="18"/>
                <w:szCs w:val="18"/>
                <w:b w:val="0"/>
                <w:bCs w:val="0"/>
              </w:rPr>
              <w:t xml:space="preserve">- Technical reservation: The minimum densities for design, design loads, and load combinations in the structural model do not comply with the requirements of SBC 301, Section 4.3, Section 4.4, Tables 3.1, 3.2, and 4.1, Chapter 11, SBC 303-2018, Chapter 2.6, SBC 301, Section 1.5, Section 2.3, and Section 2.4.</w:t>
            </w:r>
            <w:br/>
            <w:r>
              <w:rPr>
                <w:rFonts w:ascii="Verdana" w:hAnsi="Verdana" w:eastAsia="Verdana" w:cs="Verdana"/>
                <w:sz w:val="18"/>
                <w:szCs w:val="18"/>
                <w:b w:val="0"/>
                <w:bCs w:val="0"/>
              </w:rPr>
              <w:t xml:space="preserve">  Revise the structural model to ensure compliance with the requirements of SBC 301, including the minimum design densities, loads, and load combinations as specified in Sections 4.3, 4.4, Tables 3.1, 3.2, 4.1, Chapter 11, SBC 303-2018, Chapter 2.6, and Sections 1.5, 2.3, and 2.4.</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Project located in a seismic zone (PGA is in-between 0.04-0.10g); A seismic calculation must be provided in these cases.</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The built-up roof covering does not comply with the material standards specified in SBC 1101, Section 905.9.2.</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w:t>
            </w:r>
            <w:br/>
            <w:r>
              <w:rPr>
                <w:rFonts w:ascii="Verdana" w:hAnsi="Verdana" w:eastAsia="Verdana" w:cs="Verdana"/>
                <w:sz w:val="18"/>
                <w:szCs w:val="18"/>
                <w:b w:val="0"/>
                <w:bCs w:val="0"/>
              </w:rPr>
              <w:t xml:space="preserve">- </w:t>
            </w:r>
            <w:br/>
            <w:r>
              <w:rPr>
                <w:rFonts w:ascii="Verdana" w:hAnsi="Verdana" w:eastAsia="Verdana" w:cs="Verdana"/>
                <w:sz w:val="18"/>
                <w:szCs w:val="18"/>
                <w:b w:val="0"/>
                <w:bCs w:val="0"/>
              </w:rPr>
              <w:t xml:space="preserve">- </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82505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3bb15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30-Jul-2026</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2ceeb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31-Jul-2025</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TI302-294380</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TI3006-294380</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TI3013-294380</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TI3020-294380</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TI3027-294380</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04-Aug-2024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756097560976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Mai Magdy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
        <w:pict>
          <v:shape type="#_x0000_t75" style="width:180px;height:77.975708502024px" stroked="f">
            <v:imagedata r:id="rId19" o:title=""/>
          </v:shape>
        </w:pict>
        <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
        <w:pict>
          <v:shape type="#_x0000_t75" style="width:180px;height:56.643356643357px" stroked="f">
            <v:imagedata r:id="rId18" o:title=""/>
          </v:shape>
        </w:pict>
        <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294380</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 Id="rId19" Type="http://schemas.openxmlformats.org/officeDocument/2006/relationships/image" Target="media/image_rId19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