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jpeg" ContentType="image/jpeg"/>
  <Override PartName="/word/media/image_rId19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98063</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shimaa ahmed</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06-Oct-2024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ﻋﺒﻴﺮ ﻋﺪﻧﺎﻥ ﺑﻦ ﺧﺪﺍﺑﺨﺶ ﺑﻨﻲ ﺑﺨﺶ</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ﺍﻟﺠﻮﺩ ﺍﺑﺪﺍﻉ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ﻋﻤﺎﺭﺓ ﺳﻜﻨﻴﺔ</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19310602396576.93 - 88042963704973.42 ﺍﻟﻤﺪﻳﻨﺔ ﺍﻟﻤﻨﻮﺭﺓ - ﺣﻲ ﻧﺒﻼﺀ - ﺍﺣﺪﺍﺛﻴﺎﺕ</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77c94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93562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06-Oct-2024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99d5a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6276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9693d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e51d4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ﺩﺭﺓ ﺍﻟﻤﺪﻳﻨﺔ ﻟﻺﺳﺘﺸﺎﺭﺍﺕ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ﺩﺭﺓ ﺍﻟﻤﺪﻳﻨﺔ ﻟﻺﺳﺘﺸﺎﺭﺍﺕ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أركال للإستشارات الهندسية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ﺍﻟﺠﻮﺩ ﺍﺑﺪﺍﻉ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ﻳﺎﺳﺮ ﻋﺎﻳﺪ ﺍﻟﺴﻬﻠﻲ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3b966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d58b9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 chemical analysis results were found, but as a worst-case scenario, it is considered that the soil is aggressive to sulfates and chlorides.</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Footings,Tie beams,Combined Footingsand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is:12.55 m and the maximum headroom (Hp):3.9m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6.45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Details of roof waterproofing of the project flat roof-practicable inverted waterproofing,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with annex , Total Building height = 12.55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Footings,Tie beams,Combined FootingsThe floor slab of all slabs, including roof slab, are 28cm thick reinforced concrete hollow block slabs with beams, and 14cm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560,244.00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200,000.00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25,000.00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117,169.00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85,000.00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20,000.00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40,000.00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73,075.29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6months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25-Jun-2022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10-Jul-2022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06-Jan-2023</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406985"/>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337cad"/>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+0.45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3b6b9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e1cf5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f0a651"/>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bf3b0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No chemical analysis results were found, but as a worst-case scenario, it is considered that the soil is aggressive to sulfates and chlorides.</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0.45,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9.5m</w:t>
            </w:r>
            <w:br/>
            <w:r>
              <w:rPr>
                <w:rFonts w:ascii="Verdana" w:hAnsi="Verdana" w:eastAsia="Verdana" w:cs="Verdana"/>
                <w:sz w:val="18"/>
                <w:szCs w:val="18"/>
                <w:b w:val="0"/>
                <w:bCs w:val="0"/>
              </w:rPr>
              <w:t xml:space="preserve">- Borehole 2: BH-2, depth of: 9.5m</w:t>
            </w:r>
            <w:br/>
            <w:r>
              <w:rPr>
                <w:rFonts w:ascii="Verdana" w:hAnsi="Verdana" w:eastAsia="Verdana" w:cs="Verdana"/>
                <w:sz w:val="18"/>
                <w:szCs w:val="18"/>
                <w:b w:val="0"/>
                <w:bCs w:val="0"/>
              </w:rPr>
              <w:t xml:space="preserve">- Borehole 3: BH-3, depth of: 8m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Atterberg Limits</w:t>
            </w:r>
            <w:br/>
            <w:r>
              <w:rPr>
                <w:rFonts w:ascii="Verdana" w:hAnsi="Verdana" w:eastAsia="Verdana" w:cs="Verdana"/>
                <w:sz w:val="18"/>
                <w:szCs w:val="18"/>
                <w:b w:val="0"/>
                <w:bCs w:val="0"/>
              </w:rPr>
              <w:t xml:space="preserve">- Particle Size Distribution</w:t>
            </w:r>
            <w:br/>
            <w:r>
              <w:rPr>
                <w:rFonts w:ascii="Verdana" w:hAnsi="Verdana" w:eastAsia="Verdana" w:cs="Verdana"/>
                <w:sz w:val="18"/>
                <w:szCs w:val="18"/>
                <w:b w:val="0"/>
                <w:bCs w:val="0"/>
              </w:rPr>
              <w:t xml:space="preserve">- Specific Gravity Test</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700px;height:677.99401197605px" stroked="f">
                  <v:imagedata r:id="rId18"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dfb69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9131e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-1.5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Poorly Graded sand with silt, Brownish Color, Medium Grain Size, Medium Dense. </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Footings,Tie beams,Combined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1.63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24f54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29d6f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abdab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5e6f6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ab8a5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d8c4a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30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0.45,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30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30 MPa</w:t>
            </w:r>
            <w:br/>
            <w:r>
              <w:rPr>
                <w:rFonts w:ascii="Verdana" w:hAnsi="Verdana" w:eastAsia="Verdana" w:cs="Verdana"/>
                <w:sz w:val="18"/>
                <w:szCs w:val="18"/>
                <w:b w:val="0"/>
                <w:bCs w:val="0"/>
              </w:rPr>
              <w:t xml:space="preserve">Fy= 420 MPa</w:t>
            </w:r>
            <w:br/>
            <w:r>
              <w:rPr>
                <w:rFonts w:ascii="Verdana" w:hAnsi="Verdana" w:eastAsia="Verdana" w:cs="Verdana"/>
                <w:sz w:val="18"/>
                <w:szCs w:val="18"/>
                <w:b w:val="0"/>
                <w:bCs w:val="0"/>
              </w:rPr>
              <w:t xml:space="preserve">Maximum span for beams (m): 5.55 m</w:t>
            </w:r>
            <w:br/>
            <w:r>
              <w:rPr>
                <w:rFonts w:ascii="Verdana" w:hAnsi="Verdana" w:eastAsia="Verdana" w:cs="Verdana"/>
                <w:sz w:val="18"/>
                <w:szCs w:val="18"/>
                <w:b w:val="0"/>
                <w:bCs w:val="0"/>
              </w:rPr>
              <w:t xml:space="preserve">Maximum span for slabs (m): 6.45 m</w:t>
            </w:r>
            <w:br/>
            <w:r>
              <w:rPr>
                <w:rFonts w:ascii="Verdana" w:hAnsi="Verdana" w:eastAsia="Verdana" w:cs="Verdana"/>
                <w:sz w:val="18"/>
                <w:szCs w:val="18"/>
                <w:b w:val="0"/>
                <w:bCs w:val="0"/>
              </w:rPr>
              <w:t xml:space="preserve">- Maximum cantilever of the balconies (m):2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28111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6ded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80ecf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eda65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153bf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af33e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e9187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r w:rsidRPr="00CF1E39">
                    <w:rPr>
                      <w:sz w:val="18"/>
                      <w:szCs w:val="18"/>
                    </w:rPr>
                    <w:t/>
                    <w:pict>
                      <v:shape type="#_x0000_t75" style="width:400px;height:362.31884057971px" stroked="f">
                        <v:imagedata r:id="rId19" o:title=""/>
                      </v:shape>
                    </w:pict>
                    <w:t/>
                  </w: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31188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ae6a9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1.75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location of the (water tank/ Septic tank) was not specified on the plans. It must be considered that the location of the tank near the building affects the stability of the building’s foundations and exposes the structure to risk.</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No chemical analysis results were found, but as a worst-case scenario, it is considered that the soil is aggressive to sulfates and chlorides.</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The mat foundations, combined footings, and strap footings are not designed and constructed in accordance with SBC 1101, Section 709, SBC 303, Sections 8.6.1 through 8.6.2, Section 8.6.4, and SBC 1101, Sections 707.2.5 and 707.2.</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The concrete cover for the steel reinforcement has not been verified according to SBC 1101, Section 4A7.1.</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The built-up roof covering does not comply with the material standards specified in SBC 1101, Section 905.9.2.</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The design of the connections does not comply with the connection design requirements specified in SBC 306, Chapter 10.</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The walls or partitions constructed from adobe units do not comply with the requirements of SBC 201, Section 2109.3.4.5.1.</w:t>
            </w:r>
            <w:br/>
            <w:r>
              <w:rPr>
                <w:rFonts w:ascii="Verdana" w:hAnsi="Verdana" w:eastAsia="Verdana" w:cs="Verdana"/>
                <w:sz w:val="18"/>
                <w:szCs w:val="18"/>
                <w:b w:val="0"/>
                <w:bCs w:val="0"/>
              </w:rPr>
              <w:t xml:space="preserve">- The minimum densities for design, design loads, and load combinations in the structural model do not comply with the requirements of SBC 301, Section 4.3, Section 4.4, Tables 3.1, 3.2, and 4.1, Chapter 11, SBC 303-2018, Chapter 2.6, SBC 301, Section 1.5, Section 2.3, and Section 2.4.</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06688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760b8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06-Jan-2024</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030d2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07-Jan-2023</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TI302-98063</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06-Oct-2024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shimaa ahmed</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98063</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jpeg"/><Relationship Id="rId19" Type="http://schemas.openxmlformats.org/officeDocument/2006/relationships/image" Target="media/image_rId19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